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51C5E" w14:textId="77777777" w:rsidR="00A45085" w:rsidRPr="00A45085" w:rsidRDefault="00A45085" w:rsidP="00A45085">
      <w:pPr>
        <w:rPr>
          <w:rStyle w:val="Hervorhebung"/>
          <w:b/>
          <w:bCs/>
        </w:rPr>
      </w:pPr>
      <w:r w:rsidRPr="00A45085">
        <w:rPr>
          <w:rStyle w:val="Fett"/>
          <w:sz w:val="24"/>
          <w:szCs w:val="24"/>
        </w:rPr>
        <w:t>QUADRILL TABAKFABRIK LINZ</w:t>
      </w:r>
      <w:r w:rsidRPr="00A45085">
        <w:rPr>
          <w:sz w:val="24"/>
          <w:szCs w:val="24"/>
        </w:rPr>
        <w:br/>
      </w:r>
      <w:r w:rsidRPr="00A45085">
        <w:rPr>
          <w:rStyle w:val="Hervorhebung"/>
          <w:b/>
          <w:bCs/>
        </w:rPr>
        <w:t>Ein neues Landmark und urbaner Katalysator im historischen Industrieensemble</w:t>
      </w:r>
    </w:p>
    <w:p w14:paraId="52DA0C1A" w14:textId="77777777" w:rsidR="00A45085" w:rsidRDefault="00A45085" w:rsidP="00A45085"/>
    <w:p w14:paraId="618DF9BE" w14:textId="77777777" w:rsidR="00A45085" w:rsidRDefault="00A45085" w:rsidP="00A45085">
      <w:r>
        <w:t>Mit dem Projekt QUADRILL erfährt die Tabakfabrik Linz, ein 1935 von Peter Behrens und Alexander Popp realisierter Industriebau der Neuen Sachlichkeit, eine grundlegende Transformation. Nach dem Erwerb des 38.000 m² großen Areals durch die Stadt Linz im Jahr 2010 entwickelte sich der Standort zu einem Zentrum der Kreativwirtschaft. Das von Zechner &amp; Zechner geplante Ensemble ergänzt den denkmalgeschützten Bestand und überführt das ehemals introvertierte Fabrikareal in einen offenen, gemischt genutzten Stadtbaustein.</w:t>
      </w:r>
    </w:p>
    <w:p w14:paraId="1EB2E5B0" w14:textId="77777777" w:rsidR="00A45085" w:rsidRDefault="00A45085" w:rsidP="00A45085">
      <w:r>
        <w:t xml:space="preserve">Städtebaulich fungiert QUADRILL als neuer Kopfbau und Schnittstelle zur Stadt. Entlang der </w:t>
      </w:r>
      <w:proofErr w:type="spellStart"/>
      <w:r>
        <w:t>Gruberstraße</w:t>
      </w:r>
      <w:proofErr w:type="spellEnd"/>
      <w:r>
        <w:t xml:space="preserve"> markiert ein großzügiges Entrée den Zugang und öffnet das Areal. Die Baukörper vermitteln in ihrer Höhe zum Bestand und steigern sich zum 109 Meter hohen </w:t>
      </w:r>
      <w:proofErr w:type="spellStart"/>
      <w:r>
        <w:t>Quadrill</w:t>
      </w:r>
      <w:proofErr w:type="spellEnd"/>
      <w:r>
        <w:t xml:space="preserve"> Tower, der als vertikales Pendant zum Behrens-Trakt einen neuen Orientierungspunkt im Stadtgefüge bildet.</w:t>
      </w:r>
    </w:p>
    <w:p w14:paraId="5022477C" w14:textId="77777777" w:rsidR="00A45085" w:rsidRDefault="00A45085" w:rsidP="00A45085">
      <w:r>
        <w:t>Zentrales Entwurfsmotiv ist ein zusammenhängendes Freiraumsystem auf zwei Ebenen: dem Behrensplatz auf Straßenniveau und dem „Behrensband“ im ersten Obergeschoß. Diese Dachlandschaft dient nicht nur der Erschließung, sondern als qualitätsvoller öffentlicher Raum, der die vier Baukörper verbindet und vielfältige Aufenthalts- und Nutzungsmöglichkeiten bietet. Treppen und tribünenartige Elemente verzahnen die Ebenen und schaffen fließende Übergänge zwischen Bestand und Neubau.</w:t>
      </w:r>
    </w:p>
    <w:p w14:paraId="4E1D42E0" w14:textId="77777777" w:rsidR="00A45085" w:rsidRDefault="00A45085" w:rsidP="00A45085">
      <w:r>
        <w:t xml:space="preserve">Das Quartier vereint rund 1.000 Arbeitsplätze, etwa 180 Wohnungen sowie Hotel-, Gastronomie-, Handels- und Freizeitnutzungen. Der Nutzungsmix folgt einem hybriden Konzept, das Funktionen nicht trennt, sondern vertikal und horizontal verschränkt. Der </w:t>
      </w:r>
      <w:proofErr w:type="spellStart"/>
      <w:r>
        <w:t>Quadrill</w:t>
      </w:r>
      <w:proofErr w:type="spellEnd"/>
      <w:r>
        <w:t xml:space="preserve"> Tower beherbergt neben einem Hotel mit 189 Zimmern flexible Büroflächen sowie ein öffentlich zugängliches Restaurant mit Panoramablick. Großzügige Raumhöhen in den unteren Geschoßen und die Gliederung in einzelne Baukörper sichern langfristige Anpassungsfähigkeit.</w:t>
      </w:r>
    </w:p>
    <w:p w14:paraId="539B7B9E" w14:textId="77777777" w:rsidR="00A45085" w:rsidRDefault="00A45085" w:rsidP="00A45085">
      <w:r>
        <w:t>Auch im Wohnen werden neue Typologien erprobt: Kompakte Einheiten reagieren auf die unmittelbare Nähe zu Arbeitsplätzen und fördern kurze Wege. Damit stellt QUADRILL eine Alternative zu funktional getrennten Stadtstrukturen dar und stärkt die Durchmischung von Leben und Arbeiten.</w:t>
      </w:r>
    </w:p>
    <w:p w14:paraId="0EE239FD" w14:textId="77777777" w:rsidR="00A45085" w:rsidRDefault="00A45085" w:rsidP="00A45085">
      <w:r>
        <w:t>Architektonisch treten die Neubauten in einen dialogischen Bezug zum Bestand. Der Sockel nimmt mit seiner Klinkerfassade die Materialität der historischen Gebäude auf und schafft eine verbindende Ebene. Der Turm entwickelt hingegen eine eigenständige Fassadentektonik: Plastisch ausgebildete Elemente im unteren Bereich verdichten sich nach oben zu einer ruhigeren, glatteren Erscheinung.</w:t>
      </w:r>
    </w:p>
    <w:p w14:paraId="17D74D5E" w14:textId="77777777" w:rsidR="00A45085" w:rsidRDefault="00A45085" w:rsidP="00A45085">
      <w:r>
        <w:t>Die Dachflächen sind als intensiv nutzbare Freiräume ausgebildet und erweitern den Stadtraum in die Vertikale. Neben begrünten Aufenthaltsbereichen bieten sie Spiel-, Sport- und Arbeitszonen. Die öffentliche Zugänglichkeit der obersten Ebene des Towers komplettiert dieses räumliche Angebot.</w:t>
      </w:r>
    </w:p>
    <w:p w14:paraId="39BFDA4D" w14:textId="77777777" w:rsidR="00A45085" w:rsidRDefault="00A45085" w:rsidP="00A45085">
      <w:r>
        <w:t>Die Energieversorgung basiert primär auf Grundwasser mittels Wärmepumpen, ergänzt durch Photovoltaik. Fernwärme und -kälte dienen der Spitzenlastabdeckung. Zertifizierungen nach ÖGNI und klimaaktiv unterstreichen den nachhaltigen Anspruch, der ökologische, ökonomische und soziokulturelle Aspekte integriert.</w:t>
      </w:r>
    </w:p>
    <w:p w14:paraId="10269CEF" w14:textId="77777777" w:rsidR="00A45085" w:rsidRDefault="00A45085" w:rsidP="00A45085">
      <w:r>
        <w:t>Mit QUADRILL wird die Tabakfabrik Linz endgültig zum offenen Stadtquartier transformiert. Das Projekt verbindet historische Substanz mit zeitgenössischer Architektur und schafft einen identitätsstiftenden Ort im urbanen Gefüge.</w:t>
      </w:r>
    </w:p>
    <w:p w14:paraId="52E0116A" w14:textId="14B676CF" w:rsidR="00300E0D" w:rsidRDefault="00300E0D">
      <w:r>
        <w:br w:type="page"/>
      </w:r>
    </w:p>
    <w:p w14:paraId="36F8AF1A" w14:textId="77777777" w:rsidR="006E289C" w:rsidRDefault="006E289C"/>
    <w:p w14:paraId="24978C04"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Adresse:</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r>
      <w:proofErr w:type="spellStart"/>
      <w:r w:rsidRPr="000F07B4">
        <w:rPr>
          <w:rFonts w:asciiTheme="minorHAnsi" w:hAnsiTheme="minorHAnsi" w:cstheme="minorHAnsi"/>
        </w:rPr>
        <w:t>Gruberstraße</w:t>
      </w:r>
      <w:proofErr w:type="spellEnd"/>
      <w:r w:rsidRPr="000F07B4">
        <w:rPr>
          <w:rFonts w:asciiTheme="minorHAnsi" w:hAnsiTheme="minorHAnsi" w:cstheme="minorHAnsi"/>
        </w:rPr>
        <w:t xml:space="preserve">, Untere Donaulände, </w:t>
      </w:r>
      <w:proofErr w:type="spellStart"/>
      <w:r w:rsidRPr="000F07B4">
        <w:rPr>
          <w:rFonts w:asciiTheme="minorHAnsi" w:hAnsiTheme="minorHAnsi" w:cstheme="minorHAnsi"/>
        </w:rPr>
        <w:t>Ludlgasse</w:t>
      </w:r>
      <w:proofErr w:type="spellEnd"/>
      <w:r w:rsidRPr="000F07B4">
        <w:rPr>
          <w:rFonts w:asciiTheme="minorHAnsi" w:hAnsiTheme="minorHAnsi" w:cstheme="minorHAnsi"/>
        </w:rPr>
        <w:t>, 4020 Linz</w:t>
      </w:r>
    </w:p>
    <w:p w14:paraId="64E34D44"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Bauherr:</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Bodner Gruppe, Kufstein</w:t>
      </w:r>
    </w:p>
    <w:p w14:paraId="7F182568"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Generalplanung:</w:t>
      </w:r>
      <w:r w:rsidRPr="000F07B4">
        <w:rPr>
          <w:rFonts w:asciiTheme="minorHAnsi" w:hAnsiTheme="minorHAnsi" w:cstheme="minorHAnsi"/>
        </w:rPr>
        <w:tab/>
      </w:r>
      <w:r w:rsidRPr="000F07B4">
        <w:rPr>
          <w:rFonts w:asciiTheme="minorHAnsi" w:hAnsiTheme="minorHAnsi" w:cstheme="minorHAnsi"/>
        </w:rPr>
        <w:tab/>
        <w:t>Zechner &amp; Zechner, Wien</w:t>
      </w:r>
    </w:p>
    <w:p w14:paraId="5C6002B6"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b/>
        <w:t>Statik:</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Thomas Lorenz ZT, Graz</w:t>
      </w:r>
    </w:p>
    <w:p w14:paraId="6A54EABD"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b/>
        <w:t>TGA:</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Die Haustechniker, Jennersdorf</w:t>
      </w:r>
    </w:p>
    <w:p w14:paraId="56BE40B5"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b/>
        <w:t>Bauphysik:</w:t>
      </w:r>
      <w:r w:rsidRPr="000F07B4">
        <w:rPr>
          <w:rFonts w:asciiTheme="minorHAnsi" w:hAnsiTheme="minorHAnsi" w:cstheme="minorHAnsi"/>
        </w:rPr>
        <w:tab/>
      </w:r>
      <w:r w:rsidRPr="000F07B4">
        <w:rPr>
          <w:rFonts w:asciiTheme="minorHAnsi" w:hAnsiTheme="minorHAnsi" w:cstheme="minorHAnsi"/>
        </w:rPr>
        <w:tab/>
        <w:t>Dr. Pfeiler, Graz</w:t>
      </w:r>
    </w:p>
    <w:p w14:paraId="5BC536BF"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b/>
        <w:t>Brandschutz:</w:t>
      </w:r>
      <w:r w:rsidRPr="000F07B4">
        <w:rPr>
          <w:rFonts w:asciiTheme="minorHAnsi" w:hAnsiTheme="minorHAnsi" w:cstheme="minorHAnsi"/>
        </w:rPr>
        <w:tab/>
      </w:r>
      <w:r w:rsidRPr="000F07B4">
        <w:rPr>
          <w:rFonts w:asciiTheme="minorHAnsi" w:hAnsiTheme="minorHAnsi" w:cstheme="minorHAnsi"/>
        </w:rPr>
        <w:tab/>
        <w:t>Brandschütz, Wien</w:t>
      </w:r>
    </w:p>
    <w:p w14:paraId="37D212CE"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ab/>
        <w:t>Freiraumplanung:</w:t>
      </w:r>
      <w:r w:rsidRPr="000F07B4">
        <w:rPr>
          <w:rFonts w:asciiTheme="minorHAnsi" w:hAnsiTheme="minorHAnsi" w:cstheme="minorHAnsi"/>
        </w:rPr>
        <w:tab/>
        <w:t>Korbwurf, Wien</w:t>
      </w:r>
    </w:p>
    <w:p w14:paraId="11284560"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Hoteldesign:</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 xml:space="preserve">Monika </w:t>
      </w:r>
      <w:proofErr w:type="spellStart"/>
      <w:r w:rsidRPr="000F07B4">
        <w:rPr>
          <w:rFonts w:asciiTheme="minorHAnsi" w:hAnsiTheme="minorHAnsi" w:cstheme="minorHAnsi"/>
        </w:rPr>
        <w:t>Breu</w:t>
      </w:r>
      <w:proofErr w:type="spellEnd"/>
      <w:r w:rsidRPr="000F07B4">
        <w:rPr>
          <w:rFonts w:asciiTheme="minorHAnsi" w:hAnsiTheme="minorHAnsi" w:cstheme="minorHAnsi"/>
        </w:rPr>
        <w:t xml:space="preserve"> / Zechner &amp; Zechner, Wien</w:t>
      </w:r>
    </w:p>
    <w:p w14:paraId="50FA33DD" w14:textId="77777777" w:rsidR="00300E0D" w:rsidRPr="000F07B4" w:rsidRDefault="00300E0D" w:rsidP="00300E0D">
      <w:pPr>
        <w:pStyle w:val="KeinLeerraum"/>
        <w:rPr>
          <w:rFonts w:asciiTheme="minorHAnsi" w:hAnsiTheme="minorHAnsi" w:cstheme="minorHAnsi"/>
        </w:rPr>
      </w:pPr>
      <w:r w:rsidRPr="000F07B4">
        <w:rPr>
          <w:rFonts w:asciiTheme="minorHAnsi" w:hAnsiTheme="minorHAnsi" w:cstheme="minorHAnsi"/>
        </w:rPr>
        <w:t>Generalunternehmer:</w:t>
      </w:r>
      <w:r w:rsidRPr="000F07B4">
        <w:rPr>
          <w:rFonts w:asciiTheme="minorHAnsi" w:hAnsiTheme="minorHAnsi" w:cstheme="minorHAnsi"/>
        </w:rPr>
        <w:tab/>
      </w:r>
      <w:r w:rsidRPr="000F07B4">
        <w:rPr>
          <w:rFonts w:asciiTheme="minorHAnsi" w:hAnsiTheme="minorHAnsi" w:cstheme="minorHAnsi"/>
        </w:rPr>
        <w:tab/>
        <w:t xml:space="preserve">ARGE Bodner / </w:t>
      </w:r>
      <w:proofErr w:type="spellStart"/>
      <w:r w:rsidRPr="000F07B4">
        <w:rPr>
          <w:rFonts w:asciiTheme="minorHAnsi" w:hAnsiTheme="minorHAnsi" w:cstheme="minorHAnsi"/>
        </w:rPr>
        <w:t>Dywidag</w:t>
      </w:r>
      <w:proofErr w:type="spellEnd"/>
    </w:p>
    <w:p w14:paraId="29A483C5" w14:textId="77777777" w:rsidR="00300E0D" w:rsidRPr="000F07B4" w:rsidRDefault="00300E0D" w:rsidP="00300E0D">
      <w:pPr>
        <w:pStyle w:val="KeinLeerraum"/>
        <w:rPr>
          <w:rFonts w:asciiTheme="minorHAnsi" w:hAnsiTheme="minorHAnsi" w:cstheme="minorHAnsi"/>
          <w:lang w:eastAsia="de-AT"/>
        </w:rPr>
      </w:pPr>
      <w:r w:rsidRPr="000F07B4">
        <w:rPr>
          <w:rFonts w:asciiTheme="minorHAnsi" w:hAnsiTheme="minorHAnsi" w:cstheme="minorHAnsi"/>
          <w:lang w:eastAsia="de-AT"/>
        </w:rPr>
        <w:t>Wettbewerb:</w:t>
      </w:r>
      <w:r w:rsidRPr="000F07B4">
        <w:rPr>
          <w:rFonts w:asciiTheme="minorHAnsi" w:hAnsiTheme="minorHAnsi" w:cstheme="minorHAnsi"/>
          <w:lang w:eastAsia="de-AT"/>
        </w:rPr>
        <w:tab/>
      </w:r>
      <w:r w:rsidRPr="000F07B4">
        <w:rPr>
          <w:rFonts w:asciiTheme="minorHAnsi" w:hAnsiTheme="minorHAnsi" w:cstheme="minorHAnsi"/>
          <w:lang w:eastAsia="de-AT"/>
        </w:rPr>
        <w:tab/>
      </w:r>
      <w:r w:rsidRPr="000F07B4">
        <w:rPr>
          <w:rFonts w:asciiTheme="minorHAnsi" w:hAnsiTheme="minorHAnsi" w:cstheme="minorHAnsi"/>
          <w:lang w:eastAsia="de-AT"/>
        </w:rPr>
        <w:tab/>
        <w:t>2017</w:t>
      </w:r>
    </w:p>
    <w:p w14:paraId="275FF848" w14:textId="6C6F130E" w:rsidR="00300E0D" w:rsidRPr="000F07B4" w:rsidRDefault="00300E0D" w:rsidP="00300E0D">
      <w:pPr>
        <w:pStyle w:val="KeinLeerraum"/>
        <w:rPr>
          <w:rFonts w:asciiTheme="minorHAnsi" w:hAnsiTheme="minorHAnsi" w:cstheme="minorHAnsi"/>
          <w:lang w:eastAsia="de-AT"/>
        </w:rPr>
      </w:pPr>
      <w:r w:rsidRPr="000F07B4">
        <w:rPr>
          <w:rFonts w:asciiTheme="minorHAnsi" w:hAnsiTheme="minorHAnsi" w:cstheme="minorHAnsi"/>
          <w:lang w:eastAsia="de-AT"/>
        </w:rPr>
        <w:t>Fertigstellung:</w:t>
      </w:r>
      <w:r w:rsidRPr="000F07B4">
        <w:rPr>
          <w:rFonts w:asciiTheme="minorHAnsi" w:hAnsiTheme="minorHAnsi" w:cstheme="minorHAnsi"/>
          <w:lang w:eastAsia="de-AT"/>
        </w:rPr>
        <w:tab/>
      </w:r>
      <w:r w:rsidRPr="000F07B4">
        <w:rPr>
          <w:rFonts w:asciiTheme="minorHAnsi" w:hAnsiTheme="minorHAnsi" w:cstheme="minorHAnsi"/>
          <w:lang w:eastAsia="de-AT"/>
        </w:rPr>
        <w:tab/>
      </w:r>
      <w:r>
        <w:rPr>
          <w:rFonts w:asciiTheme="minorHAnsi" w:hAnsiTheme="minorHAnsi" w:cstheme="minorHAnsi"/>
          <w:lang w:eastAsia="de-AT"/>
        </w:rPr>
        <w:tab/>
      </w:r>
      <w:r w:rsidRPr="000F07B4">
        <w:rPr>
          <w:rFonts w:asciiTheme="minorHAnsi" w:hAnsiTheme="minorHAnsi" w:cstheme="minorHAnsi"/>
          <w:lang w:eastAsia="de-AT"/>
        </w:rPr>
        <w:t>2026</w:t>
      </w:r>
    </w:p>
    <w:p w14:paraId="27C4A239" w14:textId="77777777" w:rsidR="00300E0D" w:rsidRPr="000F07B4" w:rsidRDefault="00300E0D" w:rsidP="00300E0D">
      <w:pPr>
        <w:pStyle w:val="KeinLeerraum"/>
        <w:rPr>
          <w:rFonts w:asciiTheme="minorHAnsi" w:hAnsiTheme="minorHAnsi" w:cstheme="minorHAnsi"/>
          <w:szCs w:val="20"/>
        </w:rPr>
      </w:pPr>
      <w:r w:rsidRPr="000F07B4">
        <w:rPr>
          <w:rFonts w:asciiTheme="minorHAnsi" w:hAnsiTheme="minorHAnsi" w:cstheme="minorHAnsi"/>
          <w:szCs w:val="20"/>
        </w:rPr>
        <w:t>Bruttogeschoßfläche:</w:t>
      </w:r>
      <w:r w:rsidRPr="000F07B4">
        <w:rPr>
          <w:rFonts w:asciiTheme="minorHAnsi" w:hAnsiTheme="minorHAnsi" w:cstheme="minorHAnsi"/>
          <w:szCs w:val="20"/>
        </w:rPr>
        <w:tab/>
      </w:r>
      <w:r w:rsidRPr="000F07B4">
        <w:rPr>
          <w:rFonts w:asciiTheme="minorHAnsi" w:hAnsiTheme="minorHAnsi" w:cstheme="minorHAnsi"/>
          <w:szCs w:val="20"/>
        </w:rPr>
        <w:tab/>
        <w:t>54.000 m2 oberirdisch, 31.300 m2 unterirdisch</w:t>
      </w:r>
    </w:p>
    <w:p w14:paraId="3D9023CC" w14:textId="77777777" w:rsidR="00300E0D" w:rsidRPr="000F07B4" w:rsidRDefault="00300E0D" w:rsidP="00300E0D">
      <w:pPr>
        <w:pStyle w:val="KeinLeerraum"/>
        <w:rPr>
          <w:rFonts w:asciiTheme="minorHAnsi" w:hAnsiTheme="minorHAnsi" w:cstheme="minorHAnsi"/>
          <w:szCs w:val="20"/>
        </w:rPr>
      </w:pPr>
      <w:r w:rsidRPr="000F07B4">
        <w:rPr>
          <w:rFonts w:asciiTheme="minorHAnsi" w:hAnsiTheme="minorHAnsi" w:cstheme="minorHAnsi"/>
          <w:szCs w:val="20"/>
        </w:rPr>
        <w:t>Nutzfläche:</w:t>
      </w:r>
      <w:r w:rsidRPr="000F07B4">
        <w:rPr>
          <w:rFonts w:asciiTheme="minorHAnsi" w:hAnsiTheme="minorHAnsi" w:cstheme="minorHAnsi"/>
          <w:szCs w:val="20"/>
        </w:rPr>
        <w:tab/>
      </w:r>
      <w:r w:rsidRPr="000F07B4">
        <w:rPr>
          <w:rFonts w:asciiTheme="minorHAnsi" w:hAnsiTheme="minorHAnsi" w:cstheme="minorHAnsi"/>
          <w:szCs w:val="20"/>
        </w:rPr>
        <w:tab/>
      </w:r>
      <w:r w:rsidRPr="000F07B4">
        <w:rPr>
          <w:rFonts w:asciiTheme="minorHAnsi" w:hAnsiTheme="minorHAnsi" w:cstheme="minorHAnsi"/>
          <w:szCs w:val="20"/>
        </w:rPr>
        <w:tab/>
        <w:t>49.500 m2 oberirdisch, 29.100 m2 unterirdisch</w:t>
      </w:r>
    </w:p>
    <w:p w14:paraId="5DBA20B3" w14:textId="7C3AEED4" w:rsidR="00300E0D" w:rsidRPr="00397B02" w:rsidRDefault="00300E0D" w:rsidP="00300E0D">
      <w:pPr>
        <w:pStyle w:val="KeinLeerraum"/>
        <w:rPr>
          <w:rFonts w:asciiTheme="minorHAnsi" w:hAnsiTheme="minorHAnsi" w:cstheme="minorHAnsi"/>
          <w:szCs w:val="20"/>
        </w:rPr>
      </w:pPr>
      <w:r w:rsidRPr="00397B02">
        <w:rPr>
          <w:rFonts w:asciiTheme="minorHAnsi" w:hAnsiTheme="minorHAnsi" w:cstheme="minorHAnsi"/>
          <w:szCs w:val="20"/>
        </w:rPr>
        <w:t xml:space="preserve">Fotos: </w:t>
      </w:r>
      <w:r w:rsidRPr="00397B02">
        <w:rPr>
          <w:rFonts w:asciiTheme="minorHAnsi" w:hAnsiTheme="minorHAnsi" w:cstheme="minorHAnsi"/>
          <w:szCs w:val="20"/>
        </w:rPr>
        <w:tab/>
      </w:r>
      <w:r w:rsidRPr="00397B02">
        <w:rPr>
          <w:rFonts w:asciiTheme="minorHAnsi" w:hAnsiTheme="minorHAnsi" w:cstheme="minorHAnsi"/>
          <w:szCs w:val="20"/>
        </w:rPr>
        <w:tab/>
      </w:r>
      <w:r w:rsidRPr="00397B02">
        <w:rPr>
          <w:rFonts w:asciiTheme="minorHAnsi" w:hAnsiTheme="minorHAnsi" w:cstheme="minorHAnsi"/>
          <w:szCs w:val="20"/>
        </w:rPr>
        <w:tab/>
      </w:r>
      <w:r>
        <w:rPr>
          <w:rFonts w:asciiTheme="minorHAnsi" w:hAnsiTheme="minorHAnsi" w:cstheme="minorHAnsi"/>
          <w:szCs w:val="20"/>
        </w:rPr>
        <w:tab/>
      </w:r>
      <w:r w:rsidRPr="00397B02">
        <w:rPr>
          <w:rFonts w:asciiTheme="minorHAnsi" w:hAnsiTheme="minorHAnsi" w:cstheme="minorHAnsi"/>
          <w:szCs w:val="20"/>
        </w:rPr>
        <w:t>Pierer.net</w:t>
      </w:r>
    </w:p>
    <w:p w14:paraId="488559D4" w14:textId="77777777" w:rsidR="00300E0D" w:rsidRDefault="00300E0D" w:rsidP="00300E0D">
      <w:pPr>
        <w:pStyle w:val="KeinLeerraum"/>
        <w:rPr>
          <w:rFonts w:asciiTheme="minorHAnsi" w:hAnsiTheme="minorHAnsi" w:cstheme="minorHAnsi"/>
          <w:szCs w:val="20"/>
        </w:rPr>
      </w:pPr>
    </w:p>
    <w:p w14:paraId="3ED3FBF3" w14:textId="77777777" w:rsidR="00300E0D" w:rsidRPr="003350DD" w:rsidRDefault="00300E0D" w:rsidP="00300E0D">
      <w:pPr>
        <w:pStyle w:val="KeinLeerraum"/>
        <w:rPr>
          <w:rFonts w:asciiTheme="minorHAnsi" w:hAnsiTheme="minorHAnsi" w:cstheme="minorHAnsi"/>
          <w:b/>
          <w:bCs/>
          <w:szCs w:val="20"/>
        </w:rPr>
      </w:pPr>
      <w:r w:rsidRPr="003350DD">
        <w:rPr>
          <w:rFonts w:asciiTheme="minorHAnsi" w:hAnsiTheme="minorHAnsi" w:cstheme="minorHAnsi"/>
          <w:b/>
          <w:bCs/>
          <w:szCs w:val="20"/>
        </w:rPr>
        <w:t>Pressekontakt:</w:t>
      </w:r>
    </w:p>
    <w:p w14:paraId="65755C43" w14:textId="77777777" w:rsidR="00300E0D" w:rsidRDefault="00300E0D" w:rsidP="00300E0D">
      <w:pPr>
        <w:pStyle w:val="KeinLeerraum"/>
        <w:rPr>
          <w:rFonts w:asciiTheme="minorHAnsi" w:hAnsiTheme="minorHAnsi" w:cstheme="minorHAnsi"/>
          <w:szCs w:val="20"/>
        </w:rPr>
      </w:pPr>
      <w:r>
        <w:rPr>
          <w:rFonts w:asciiTheme="minorHAnsi" w:hAnsiTheme="minorHAnsi" w:cstheme="minorHAnsi"/>
          <w:szCs w:val="20"/>
        </w:rPr>
        <w:t xml:space="preserve">Zechner &amp; Zechner </w:t>
      </w:r>
      <w:proofErr w:type="spellStart"/>
      <w:r>
        <w:rPr>
          <w:rFonts w:asciiTheme="minorHAnsi" w:hAnsiTheme="minorHAnsi" w:cstheme="minorHAnsi"/>
          <w:szCs w:val="20"/>
        </w:rPr>
        <w:t>ZTGmbH</w:t>
      </w:r>
      <w:proofErr w:type="spellEnd"/>
      <w:r>
        <w:rPr>
          <w:rFonts w:asciiTheme="minorHAnsi" w:hAnsiTheme="minorHAnsi" w:cstheme="minorHAnsi"/>
          <w:szCs w:val="20"/>
        </w:rPr>
        <w:t xml:space="preserve">, </w:t>
      </w:r>
      <w:proofErr w:type="spellStart"/>
      <w:r>
        <w:rPr>
          <w:rFonts w:asciiTheme="minorHAnsi" w:hAnsiTheme="minorHAnsi" w:cstheme="minorHAnsi"/>
          <w:szCs w:val="20"/>
        </w:rPr>
        <w:t>Stumpergasse</w:t>
      </w:r>
      <w:proofErr w:type="spellEnd"/>
      <w:r>
        <w:rPr>
          <w:rFonts w:asciiTheme="minorHAnsi" w:hAnsiTheme="minorHAnsi" w:cstheme="minorHAnsi"/>
          <w:szCs w:val="20"/>
        </w:rPr>
        <w:t xml:space="preserve"> 14/23, 1060 Wien; T: +43/1/597 03 36, www.zechner.com</w:t>
      </w:r>
    </w:p>
    <w:p w14:paraId="62615F03" w14:textId="77777777" w:rsidR="00300E0D" w:rsidRDefault="00300E0D" w:rsidP="00300E0D">
      <w:pPr>
        <w:pStyle w:val="KeinLeerraum"/>
        <w:rPr>
          <w:rFonts w:asciiTheme="minorHAnsi" w:hAnsiTheme="minorHAnsi" w:cstheme="minorHAnsi"/>
          <w:szCs w:val="20"/>
        </w:rPr>
      </w:pPr>
      <w:hyperlink r:id="rId4" w:history="1">
        <w:r w:rsidRPr="00C91C84">
          <w:rPr>
            <w:rStyle w:val="Hyperlink"/>
            <w:rFonts w:asciiTheme="minorHAnsi" w:hAnsiTheme="minorHAnsi" w:cstheme="minorHAnsi"/>
            <w:szCs w:val="20"/>
          </w:rPr>
          <w:t>pressinformation@zechner.com</w:t>
        </w:r>
      </w:hyperlink>
    </w:p>
    <w:p w14:paraId="4D788BC9" w14:textId="77777777" w:rsidR="00300E0D" w:rsidRDefault="00300E0D" w:rsidP="00300E0D"/>
    <w:sectPr w:rsidR="00300E0D" w:rsidSect="00A45085">
      <w:pgSz w:w="11906" w:h="16838"/>
      <w:pgMar w:top="993"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085"/>
    <w:rsid w:val="000170CD"/>
    <w:rsid w:val="00300E0D"/>
    <w:rsid w:val="004B177D"/>
    <w:rsid w:val="006E289C"/>
    <w:rsid w:val="009D0577"/>
    <w:rsid w:val="00A45085"/>
    <w:rsid w:val="00F501D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4D507"/>
  <w15:chartTrackingRefBased/>
  <w15:docId w15:val="{123730EE-5E2A-409F-8630-F95E792B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450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450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45085"/>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45085"/>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45085"/>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45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45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45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45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450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450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450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450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450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45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45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45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45085"/>
    <w:rPr>
      <w:rFonts w:eastAsiaTheme="majorEastAsia" w:cstheme="majorBidi"/>
      <w:color w:val="272727" w:themeColor="text1" w:themeTint="D8"/>
    </w:rPr>
  </w:style>
  <w:style w:type="paragraph" w:styleId="Titel">
    <w:name w:val="Title"/>
    <w:basedOn w:val="Standard"/>
    <w:next w:val="Standard"/>
    <w:link w:val="TitelZchn"/>
    <w:uiPriority w:val="10"/>
    <w:qFormat/>
    <w:rsid w:val="00A45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45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45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45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45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45085"/>
    <w:rPr>
      <w:i/>
      <w:iCs/>
      <w:color w:val="404040" w:themeColor="text1" w:themeTint="BF"/>
    </w:rPr>
  </w:style>
  <w:style w:type="paragraph" w:styleId="Listenabsatz">
    <w:name w:val="List Paragraph"/>
    <w:basedOn w:val="Standard"/>
    <w:uiPriority w:val="34"/>
    <w:qFormat/>
    <w:rsid w:val="00A45085"/>
    <w:pPr>
      <w:ind w:left="720"/>
      <w:contextualSpacing/>
    </w:pPr>
  </w:style>
  <w:style w:type="character" w:styleId="IntensiveHervorhebung">
    <w:name w:val="Intense Emphasis"/>
    <w:basedOn w:val="Absatz-Standardschriftart"/>
    <w:uiPriority w:val="21"/>
    <w:qFormat/>
    <w:rsid w:val="00A45085"/>
    <w:rPr>
      <w:i/>
      <w:iCs/>
      <w:color w:val="2F5496" w:themeColor="accent1" w:themeShade="BF"/>
    </w:rPr>
  </w:style>
  <w:style w:type="paragraph" w:styleId="IntensivesZitat">
    <w:name w:val="Intense Quote"/>
    <w:basedOn w:val="Standard"/>
    <w:next w:val="Standard"/>
    <w:link w:val="IntensivesZitatZchn"/>
    <w:uiPriority w:val="30"/>
    <w:qFormat/>
    <w:rsid w:val="00A450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45085"/>
    <w:rPr>
      <w:i/>
      <w:iCs/>
      <w:color w:val="2F5496" w:themeColor="accent1" w:themeShade="BF"/>
    </w:rPr>
  </w:style>
  <w:style w:type="character" w:styleId="IntensiverVerweis">
    <w:name w:val="Intense Reference"/>
    <w:basedOn w:val="Absatz-Standardschriftart"/>
    <w:uiPriority w:val="32"/>
    <w:qFormat/>
    <w:rsid w:val="00A45085"/>
    <w:rPr>
      <w:b/>
      <w:bCs/>
      <w:smallCaps/>
      <w:color w:val="2F5496" w:themeColor="accent1" w:themeShade="BF"/>
      <w:spacing w:val="5"/>
    </w:rPr>
  </w:style>
  <w:style w:type="paragraph" w:styleId="StandardWeb">
    <w:name w:val="Normal (Web)"/>
    <w:basedOn w:val="Standard"/>
    <w:uiPriority w:val="99"/>
    <w:semiHidden/>
    <w:unhideWhenUsed/>
    <w:rsid w:val="00A45085"/>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Fett">
    <w:name w:val="Strong"/>
    <w:basedOn w:val="Absatz-Standardschriftart"/>
    <w:uiPriority w:val="22"/>
    <w:qFormat/>
    <w:rsid w:val="00A45085"/>
    <w:rPr>
      <w:b/>
      <w:bCs/>
    </w:rPr>
  </w:style>
  <w:style w:type="character" w:styleId="Hervorhebung">
    <w:name w:val="Emphasis"/>
    <w:basedOn w:val="Absatz-Standardschriftart"/>
    <w:uiPriority w:val="20"/>
    <w:qFormat/>
    <w:rsid w:val="00A45085"/>
    <w:rPr>
      <w:i/>
      <w:iCs/>
    </w:rPr>
  </w:style>
  <w:style w:type="paragraph" w:styleId="KeinLeerraum">
    <w:name w:val="No Spacing"/>
    <w:aliases w:val="Aufzählung"/>
    <w:uiPriority w:val="1"/>
    <w:qFormat/>
    <w:rsid w:val="00300E0D"/>
    <w:pPr>
      <w:spacing w:after="0" w:line="360" w:lineRule="auto"/>
    </w:pPr>
    <w:rPr>
      <w:rFonts w:ascii="Arial" w:hAnsi="Arial"/>
      <w:sz w:val="20"/>
      <w:lang w:val="de-DE"/>
    </w:rPr>
  </w:style>
  <w:style w:type="character" w:styleId="Hyperlink">
    <w:name w:val="Hyperlink"/>
    <w:basedOn w:val="Absatz-Standardschriftart"/>
    <w:uiPriority w:val="99"/>
    <w:unhideWhenUsed/>
    <w:rsid w:val="00300E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essinformation@zechne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3704</Characters>
  <Application>Microsoft Office Word</Application>
  <DocSecurity>0</DocSecurity>
  <Lines>30</Lines>
  <Paragraphs>8</Paragraphs>
  <ScaleCrop>false</ScaleCrop>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email@zechner.com</dc:creator>
  <cp:keywords/>
  <dc:description/>
  <cp:lastModifiedBy>email@zechner.com</cp:lastModifiedBy>
  <cp:revision>3</cp:revision>
  <dcterms:created xsi:type="dcterms:W3CDTF">2026-05-01T18:03:00Z</dcterms:created>
  <dcterms:modified xsi:type="dcterms:W3CDTF">2026-05-01T18:05:00Z</dcterms:modified>
</cp:coreProperties>
</file>